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Wedding venue quotation checklist</w:t>
      </w:r>
    </w:p>
    <w:p>
      <w:r>
        <w:t>For couples and families comparing wedding venues in Bengaluru. Ask each venue to quote the same event brief, then record the full cost and written terms before choosing.</w:t>
      </w:r>
    </w:p>
    <w:p>
      <w:r>
        <w:t>Use one set of pages for one event. Keep dated quotations, plans and agreed changes together. Blank amounts are unknown, not zero.</w:t>
      </w:r>
    </w:p>
    <w:p>
      <w:pPr>
        <w:pStyle w:val="Heading2"/>
      </w:pPr>
      <w:r>
        <w:t>Identify the quotations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45" w:type="dxa"/>
          <w:left w:w="100" w:type="dxa"/>
          <w:bottom w:w="45" w:type="dxa"/>
          <w:right w:w="100" w:type="dxa"/>
        </w:tblCellMar>
      </w:tblPr>
      <w:tblGrid>
        <w:gridCol w:w="4090"/>
        <w:gridCol w:w="2088"/>
        <w:gridCol w:w="2088"/>
        <w:gridCol w:w="2102"/>
      </w:tblGrid>
      <w:tr>
        <w:trPr>
          <w:trHeight w:val="403" w:hRule="atLeast"/>
          <w:tblHeader w:val="true"/>
          <w:cantSplit/>
        </w:trPr>
        <w:tc>
          <w:tcPr>
            <w:tcW w:type="dxa" w:w="4090"/>
            <w:vAlign w:val="center"/>
            <w:shd w:fill="E9ECEF"/>
          </w:tcPr>
          <w:p>
            <w:pPr>
              <w:spacing w:after="0" w:line="240" w:lineRule="auto"/>
              <w:jc w:val="left"/>
            </w:pPr>
            <w:r>
              <w:rPr>
                <w:b/>
                <w:color w:val="000000"/>
                <w:sz w:val="21"/>
              </w:rPr>
              <w:t>Quotation detail</w:t>
            </w:r>
          </w:p>
        </w:tc>
        <w:tc>
          <w:tcPr>
            <w:tcW w:type="dxa" w:w="2088"/>
            <w:vAlign w:val="center"/>
            <w:shd w:fill="E9ECEF"/>
          </w:tcPr>
          <w:p>
            <w:pPr>
              <w:spacing w:after="0" w:line="240" w:lineRule="auto"/>
              <w:jc w:val="center"/>
            </w:pPr>
            <w:r>
              <w:rPr>
                <w:b/>
                <w:color w:val="000000"/>
                <w:sz w:val="21"/>
              </w:rPr>
              <w:t>Venue A</w:t>
            </w:r>
          </w:p>
        </w:tc>
        <w:tc>
          <w:tcPr>
            <w:tcW w:type="dxa" w:w="2088"/>
            <w:vAlign w:val="center"/>
            <w:shd w:fill="E9ECEF"/>
          </w:tcPr>
          <w:p>
            <w:pPr>
              <w:spacing w:after="0" w:line="240" w:lineRule="auto"/>
              <w:jc w:val="center"/>
            </w:pPr>
            <w:r>
              <w:rPr>
                <w:b/>
                <w:color w:val="000000"/>
                <w:sz w:val="21"/>
              </w:rPr>
              <w:t>Venue B</w:t>
            </w:r>
          </w:p>
        </w:tc>
        <w:tc>
          <w:tcPr>
            <w:tcW w:type="dxa" w:w="2102"/>
            <w:vAlign w:val="center"/>
            <w:shd w:fill="E9ECEF"/>
          </w:tcPr>
          <w:p>
            <w:pPr>
              <w:spacing w:after="0" w:line="240" w:lineRule="auto"/>
              <w:jc w:val="center"/>
            </w:pPr>
            <w:r>
              <w:rPr>
                <w:b/>
                <w:color w:val="000000"/>
                <w:sz w:val="21"/>
              </w:rPr>
              <w:t>Venue C</w:t>
            </w:r>
          </w:p>
        </w:tc>
      </w:tr>
      <w:tr>
        <w:trPr>
          <w:trHeight w:val="403" w:hRule="atLeast"/>
          <w:cantSplit/>
        </w:trPr>
        <w:tc>
          <w:tcPr>
            <w:tcW w:type="dxa" w:w="4090"/>
            <w:vAlign w:val="center"/>
          </w:tcPr>
          <w:p>
            <w:pPr>
              <w:spacing w:after="0" w:line="240" w:lineRule="auto"/>
              <w:jc w:val="left"/>
            </w:pPr>
            <w:r>
              <w:rPr>
                <w:color w:val="000000"/>
                <w:sz w:val="21"/>
              </w:rPr>
              <w:t>Venue and event space</w:t>
            </w:r>
          </w:p>
        </w:tc>
        <w:tc>
          <w:tcPr>
            <w:tcW w:type="dxa" w:w="2088"/>
            <w:vAlign w:val="center"/>
          </w:tcPr>
          <w:p>
            <w:pPr>
              <w:spacing w:after="0" w:line="240" w:lineRule="auto"/>
              <w:jc w:val="center"/>
            </w:pPr>
            <w:r>
              <w:rPr>
                <w:color w:val="000000"/>
                <w:sz w:val="21"/>
              </w:rPr>
            </w:r>
          </w:p>
        </w:tc>
        <w:tc>
          <w:tcPr>
            <w:tcW w:type="dxa" w:w="2088"/>
            <w:vAlign w:val="center"/>
          </w:tcPr>
          <w:p>
            <w:pPr>
              <w:spacing w:after="0" w:line="240" w:lineRule="auto"/>
              <w:jc w:val="center"/>
            </w:pPr>
            <w:r>
              <w:rPr>
                <w:color w:val="000000"/>
                <w:sz w:val="21"/>
              </w:rPr>
            </w:r>
          </w:p>
        </w:tc>
        <w:tc>
          <w:tcPr>
            <w:tcW w:type="dxa" w:w="2102"/>
            <w:vAlign w:val="center"/>
          </w:tcPr>
          <w:p>
            <w:pPr>
              <w:spacing w:after="0" w:line="240" w:lineRule="auto"/>
              <w:jc w:val="center"/>
            </w:pPr>
            <w:r>
              <w:rPr>
                <w:color w:val="000000"/>
                <w:sz w:val="21"/>
              </w:rPr>
            </w:r>
          </w:p>
        </w:tc>
      </w:tr>
      <w:tr>
        <w:trPr>
          <w:trHeight w:val="403" w:hRule="atLeast"/>
          <w:cantSplit/>
        </w:trPr>
        <w:tc>
          <w:tcPr>
            <w:tcW w:type="dxa" w:w="4090"/>
            <w:vAlign w:val="center"/>
          </w:tcPr>
          <w:p>
            <w:pPr>
              <w:spacing w:after="0" w:line="240" w:lineRule="auto"/>
              <w:jc w:val="left"/>
            </w:pPr>
            <w:r>
              <w:rPr>
                <w:color w:val="000000"/>
                <w:sz w:val="21"/>
              </w:rPr>
              <w:t>Quote date and valid until</w:t>
            </w:r>
          </w:p>
        </w:tc>
        <w:tc>
          <w:tcPr>
            <w:tcW w:type="dxa" w:w="2088"/>
            <w:vAlign w:val="center"/>
          </w:tcPr>
          <w:p>
            <w:pPr>
              <w:spacing w:after="0" w:line="240" w:lineRule="auto"/>
              <w:jc w:val="center"/>
            </w:pPr>
            <w:r>
              <w:rPr>
                <w:color w:val="000000"/>
                <w:sz w:val="21"/>
              </w:rPr>
            </w:r>
          </w:p>
        </w:tc>
        <w:tc>
          <w:tcPr>
            <w:tcW w:type="dxa" w:w="2088"/>
            <w:vAlign w:val="center"/>
          </w:tcPr>
          <w:p>
            <w:pPr>
              <w:spacing w:after="0" w:line="240" w:lineRule="auto"/>
              <w:jc w:val="center"/>
            </w:pPr>
            <w:r>
              <w:rPr>
                <w:color w:val="000000"/>
                <w:sz w:val="21"/>
              </w:rPr>
            </w:r>
          </w:p>
        </w:tc>
        <w:tc>
          <w:tcPr>
            <w:tcW w:type="dxa" w:w="2102"/>
            <w:vAlign w:val="center"/>
          </w:tcPr>
          <w:p>
            <w:pPr>
              <w:spacing w:after="0" w:line="240" w:lineRule="auto"/>
              <w:jc w:val="center"/>
            </w:pPr>
            <w:r>
              <w:rPr>
                <w:color w:val="000000"/>
                <w:sz w:val="21"/>
              </w:rPr>
            </w:r>
          </w:p>
        </w:tc>
      </w:tr>
      <w:tr>
        <w:trPr>
          <w:trHeight w:val="403" w:hRule="atLeast"/>
          <w:cantSplit/>
        </w:trPr>
        <w:tc>
          <w:tcPr>
            <w:tcW w:type="dxa" w:w="4090"/>
            <w:vAlign w:val="center"/>
          </w:tcPr>
          <w:p>
            <w:pPr>
              <w:spacing w:after="0" w:line="240" w:lineRule="auto"/>
              <w:jc w:val="left"/>
            </w:pPr>
            <w:r>
              <w:rPr>
                <w:color w:val="000000"/>
                <w:sz w:val="21"/>
              </w:rPr>
              <w:t>Quote reference and contact</w:t>
            </w:r>
          </w:p>
        </w:tc>
        <w:tc>
          <w:tcPr>
            <w:tcW w:type="dxa" w:w="2088"/>
            <w:vAlign w:val="center"/>
          </w:tcPr>
          <w:p>
            <w:pPr>
              <w:spacing w:after="0" w:line="240" w:lineRule="auto"/>
              <w:jc w:val="center"/>
            </w:pPr>
            <w:r>
              <w:rPr>
                <w:color w:val="000000"/>
                <w:sz w:val="21"/>
              </w:rPr>
            </w:r>
          </w:p>
        </w:tc>
        <w:tc>
          <w:tcPr>
            <w:tcW w:type="dxa" w:w="2088"/>
            <w:vAlign w:val="center"/>
          </w:tcPr>
          <w:p>
            <w:pPr>
              <w:spacing w:after="0" w:line="240" w:lineRule="auto"/>
              <w:jc w:val="center"/>
            </w:pPr>
            <w:r>
              <w:rPr>
                <w:color w:val="000000"/>
                <w:sz w:val="21"/>
              </w:rPr>
            </w:r>
          </w:p>
        </w:tc>
        <w:tc>
          <w:tcPr>
            <w:tcW w:type="dxa" w:w="2102"/>
            <w:vAlign w:val="center"/>
          </w:tcPr>
          <w:p>
            <w:pPr>
              <w:spacing w:after="0" w:line="240" w:lineRule="auto"/>
              <w:jc w:val="center"/>
            </w:pPr>
            <w:r>
              <w:rPr>
                <w:color w:val="000000"/>
                <w:sz w:val="21"/>
              </w:rPr>
            </w:r>
          </w:p>
        </w:tc>
      </w:tr>
    </w:tbl>
    <w:p>
      <w:pPr>
        <w:spacing w:after="0" w:before="0" w:line="40" w:lineRule="exact"/>
      </w:pPr>
      <w:r>
        <w:rPr>
          <w:sz w:val="4"/>
        </w:rPr>
      </w:r>
    </w:p>
    <w:p>
      <w:pPr>
        <w:pStyle w:val="Heading2"/>
      </w:pPr>
      <w:r>
        <w:t>Set one event brief</w:t>
      </w:r>
    </w:p>
    <w:p>
      <w:pPr>
        <w:spacing w:after="160"/>
      </w:pPr>
      <w:r>
        <w:t>Event and date  ________________________________________________</w:t>
      </w:r>
    </w:p>
    <w:p>
      <w:pPr>
        <w:spacing w:after="160"/>
      </w:pPr>
      <w:r>
        <w:t>Supplier access from and until  ________________________________</w:t>
      </w:r>
    </w:p>
    <w:p>
      <w:pPr>
        <w:spacing w:after="160"/>
      </w:pPr>
      <w:r>
        <w:t>Guest arrival time  ____________________________________________</w:t>
      </w:r>
    </w:p>
    <w:p>
      <w:pPr>
        <w:spacing w:after="160"/>
      </w:pPr>
      <w:r>
        <w:t>Event start and finish  ________________________________________</w:t>
      </w:r>
    </w:p>
    <w:p>
      <w:pPr>
        <w:spacing w:after="160"/>
      </w:pPr>
      <w:r>
        <w:t>Pack down from and until  ______________________________________</w:t>
      </w:r>
    </w:p>
    <w:p>
      <w:pPr>
        <w:spacing w:after="160"/>
      </w:pPr>
      <w:r>
        <w:t>Adults ______   Children by age band ______   Vendor meals ______</w:t>
      </w:r>
    </w:p>
    <w:p>
      <w:r>
        <w:t>Ask each venue to state its minimum billing or guaranteed count, when it must be confirmed, how children are charged, and how extra or absent guests affect the bill.</w:t>
      </w:r>
    </w:p>
    <w:p>
      <w:pPr>
        <w:pStyle w:val="Heading2"/>
      </w:pPr>
      <w:r>
        <w:t>Compare usable capacity by layout</w:t>
      </w:r>
    </w:p>
    <w:p>
      <w:r>
        <w:t>Ask for the capacity of the actual layout after the stage, buffet, dance floor, décor and access routes are placed. Request a marked floor plan.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45" w:type="dxa"/>
          <w:left w:w="100" w:type="dxa"/>
          <w:bottom w:w="45" w:type="dxa"/>
          <w:right w:w="100" w:type="dxa"/>
        </w:tblCellMar>
      </w:tblPr>
      <w:tblGrid>
        <w:gridCol w:w="4090"/>
        <w:gridCol w:w="2088"/>
        <w:gridCol w:w="2088"/>
        <w:gridCol w:w="2102"/>
      </w:tblGrid>
      <w:tr>
        <w:trPr>
          <w:trHeight w:val="403" w:hRule="atLeast"/>
          <w:tblHeader w:val="true"/>
          <w:cantSplit/>
        </w:trPr>
        <w:tc>
          <w:tcPr>
            <w:tcW w:type="dxa" w:w="4090"/>
            <w:vAlign w:val="center"/>
            <w:shd w:fill="E9ECEF"/>
          </w:tcPr>
          <w:p>
            <w:pPr>
              <w:spacing w:after="0" w:line="240" w:lineRule="auto"/>
              <w:jc w:val="left"/>
            </w:pPr>
            <w:r>
              <w:rPr>
                <w:b/>
                <w:color w:val="000000"/>
                <w:sz w:val="21"/>
              </w:rPr>
              <w:t>Event layout and guest count</w:t>
            </w:r>
          </w:p>
        </w:tc>
        <w:tc>
          <w:tcPr>
            <w:tcW w:type="dxa" w:w="2088"/>
            <w:vAlign w:val="center"/>
            <w:shd w:fill="E9ECEF"/>
          </w:tcPr>
          <w:p>
            <w:pPr>
              <w:spacing w:after="0" w:line="240" w:lineRule="auto"/>
              <w:jc w:val="center"/>
            </w:pPr>
            <w:r>
              <w:rPr>
                <w:b/>
                <w:color w:val="000000"/>
                <w:sz w:val="21"/>
              </w:rPr>
              <w:t>Venue A</w:t>
            </w:r>
          </w:p>
        </w:tc>
        <w:tc>
          <w:tcPr>
            <w:tcW w:type="dxa" w:w="2088"/>
            <w:vAlign w:val="center"/>
            <w:shd w:fill="E9ECEF"/>
          </w:tcPr>
          <w:p>
            <w:pPr>
              <w:spacing w:after="0" w:line="240" w:lineRule="auto"/>
              <w:jc w:val="center"/>
            </w:pPr>
            <w:r>
              <w:rPr>
                <w:b/>
                <w:color w:val="000000"/>
                <w:sz w:val="21"/>
              </w:rPr>
              <w:t>Venue B</w:t>
            </w:r>
          </w:p>
        </w:tc>
        <w:tc>
          <w:tcPr>
            <w:tcW w:type="dxa" w:w="2102"/>
            <w:vAlign w:val="center"/>
            <w:shd w:fill="E9ECEF"/>
          </w:tcPr>
          <w:p>
            <w:pPr>
              <w:spacing w:after="0" w:line="240" w:lineRule="auto"/>
              <w:jc w:val="center"/>
            </w:pPr>
            <w:r>
              <w:rPr>
                <w:b/>
                <w:color w:val="000000"/>
                <w:sz w:val="21"/>
              </w:rPr>
              <w:t>Venue C</w:t>
            </w:r>
          </w:p>
        </w:tc>
      </w:tr>
      <w:tr>
        <w:trPr>
          <w:trHeight w:val="403" w:hRule="atLeast"/>
          <w:cantSplit/>
        </w:trPr>
        <w:tc>
          <w:tcPr>
            <w:tcW w:type="dxa" w:w="4090"/>
            <w:vAlign w:val="center"/>
          </w:tcPr>
          <w:p>
            <w:pPr>
              <w:spacing w:after="0" w:line="240" w:lineRule="auto"/>
              <w:jc w:val="left"/>
            </w:pPr>
            <w:r>
              <w:rPr>
                <w:color w:val="000000"/>
                <w:sz w:val="21"/>
              </w:rPr>
              <w:t>Ceremony seating</w:t>
            </w:r>
          </w:p>
        </w:tc>
        <w:tc>
          <w:tcPr>
            <w:tcW w:type="dxa" w:w="2088"/>
            <w:vAlign w:val="center"/>
          </w:tcPr>
          <w:p>
            <w:pPr>
              <w:spacing w:after="0" w:line="240" w:lineRule="auto"/>
              <w:jc w:val="center"/>
            </w:pPr>
            <w:r>
              <w:rPr>
                <w:color w:val="000000"/>
                <w:sz w:val="21"/>
              </w:rPr>
            </w:r>
          </w:p>
        </w:tc>
        <w:tc>
          <w:tcPr>
            <w:tcW w:type="dxa" w:w="2088"/>
            <w:vAlign w:val="center"/>
          </w:tcPr>
          <w:p>
            <w:pPr>
              <w:spacing w:after="0" w:line="240" w:lineRule="auto"/>
              <w:jc w:val="center"/>
            </w:pPr>
            <w:r>
              <w:rPr>
                <w:color w:val="000000"/>
                <w:sz w:val="21"/>
              </w:rPr>
            </w:r>
          </w:p>
        </w:tc>
        <w:tc>
          <w:tcPr>
            <w:tcW w:type="dxa" w:w="2102"/>
            <w:vAlign w:val="center"/>
          </w:tcPr>
          <w:p>
            <w:pPr>
              <w:spacing w:after="0" w:line="240" w:lineRule="auto"/>
              <w:jc w:val="center"/>
            </w:pPr>
            <w:r>
              <w:rPr>
                <w:color w:val="000000"/>
                <w:sz w:val="21"/>
              </w:rPr>
            </w:r>
          </w:p>
        </w:tc>
      </w:tr>
      <w:tr>
        <w:trPr>
          <w:trHeight w:val="403" w:hRule="atLeast"/>
          <w:cantSplit/>
        </w:trPr>
        <w:tc>
          <w:tcPr>
            <w:tcW w:type="dxa" w:w="4090"/>
            <w:vAlign w:val="center"/>
          </w:tcPr>
          <w:p>
            <w:pPr>
              <w:spacing w:after="0" w:line="240" w:lineRule="auto"/>
              <w:jc w:val="left"/>
            </w:pPr>
            <w:r>
              <w:rPr>
                <w:color w:val="000000"/>
                <w:sz w:val="21"/>
              </w:rPr>
              <w:t>Seated dining</w:t>
            </w:r>
          </w:p>
        </w:tc>
        <w:tc>
          <w:tcPr>
            <w:tcW w:type="dxa" w:w="2088"/>
            <w:vAlign w:val="center"/>
          </w:tcPr>
          <w:p>
            <w:pPr>
              <w:spacing w:after="0" w:line="240" w:lineRule="auto"/>
              <w:jc w:val="center"/>
            </w:pPr>
            <w:r>
              <w:rPr>
                <w:color w:val="000000"/>
                <w:sz w:val="21"/>
              </w:rPr>
            </w:r>
          </w:p>
        </w:tc>
        <w:tc>
          <w:tcPr>
            <w:tcW w:type="dxa" w:w="2088"/>
            <w:vAlign w:val="center"/>
          </w:tcPr>
          <w:p>
            <w:pPr>
              <w:spacing w:after="0" w:line="240" w:lineRule="auto"/>
              <w:jc w:val="center"/>
            </w:pPr>
            <w:r>
              <w:rPr>
                <w:color w:val="000000"/>
                <w:sz w:val="21"/>
              </w:rPr>
            </w:r>
          </w:p>
        </w:tc>
        <w:tc>
          <w:tcPr>
            <w:tcW w:type="dxa" w:w="2102"/>
            <w:vAlign w:val="center"/>
          </w:tcPr>
          <w:p>
            <w:pPr>
              <w:spacing w:after="0" w:line="240" w:lineRule="auto"/>
              <w:jc w:val="center"/>
            </w:pPr>
            <w:r>
              <w:rPr>
                <w:color w:val="000000"/>
                <w:sz w:val="21"/>
              </w:rPr>
            </w:r>
          </w:p>
        </w:tc>
      </w:tr>
      <w:tr>
        <w:trPr>
          <w:trHeight w:val="403" w:hRule="atLeast"/>
          <w:cantSplit/>
        </w:trPr>
        <w:tc>
          <w:tcPr>
            <w:tcW w:type="dxa" w:w="4090"/>
            <w:vAlign w:val="center"/>
          </w:tcPr>
          <w:p>
            <w:pPr>
              <w:spacing w:after="0" w:line="240" w:lineRule="auto"/>
              <w:jc w:val="left"/>
            </w:pPr>
            <w:r>
              <w:rPr>
                <w:color w:val="000000"/>
                <w:sz w:val="21"/>
              </w:rPr>
              <w:t>Reception or standing layout</w:t>
            </w:r>
          </w:p>
        </w:tc>
        <w:tc>
          <w:tcPr>
            <w:tcW w:type="dxa" w:w="2088"/>
            <w:vAlign w:val="center"/>
          </w:tcPr>
          <w:p>
            <w:pPr>
              <w:spacing w:after="0" w:line="240" w:lineRule="auto"/>
              <w:jc w:val="center"/>
            </w:pPr>
            <w:r>
              <w:rPr>
                <w:color w:val="000000"/>
                <w:sz w:val="21"/>
              </w:rPr>
            </w:r>
          </w:p>
        </w:tc>
        <w:tc>
          <w:tcPr>
            <w:tcW w:type="dxa" w:w="2088"/>
            <w:vAlign w:val="center"/>
          </w:tcPr>
          <w:p>
            <w:pPr>
              <w:spacing w:after="0" w:line="240" w:lineRule="auto"/>
              <w:jc w:val="center"/>
            </w:pPr>
            <w:r>
              <w:rPr>
                <w:color w:val="000000"/>
                <w:sz w:val="21"/>
              </w:rPr>
            </w:r>
          </w:p>
        </w:tc>
        <w:tc>
          <w:tcPr>
            <w:tcW w:type="dxa" w:w="2102"/>
            <w:vAlign w:val="center"/>
          </w:tcPr>
          <w:p>
            <w:pPr>
              <w:spacing w:after="0" w:line="240" w:lineRule="auto"/>
              <w:jc w:val="center"/>
            </w:pPr>
            <w:r>
              <w:rPr>
                <w:color w:val="000000"/>
                <w:sz w:val="21"/>
              </w:rPr>
            </w:r>
          </w:p>
        </w:tc>
      </w:tr>
      <w:tr>
        <w:trPr>
          <w:trHeight w:val="403" w:hRule="atLeast"/>
          <w:cantSplit/>
        </w:trPr>
        <w:tc>
          <w:tcPr>
            <w:tcW w:type="dxa" w:w="4090"/>
            <w:vAlign w:val="center"/>
          </w:tcPr>
          <w:p>
            <w:pPr>
              <w:spacing w:after="0" w:line="240" w:lineRule="auto"/>
              <w:jc w:val="left"/>
            </w:pPr>
            <w:r>
              <w:rPr>
                <w:color w:val="000000"/>
                <w:sz w:val="21"/>
              </w:rPr>
              <w:t>Weather alternative for that layout</w:t>
            </w:r>
          </w:p>
        </w:tc>
        <w:tc>
          <w:tcPr>
            <w:tcW w:type="dxa" w:w="2088"/>
            <w:vAlign w:val="center"/>
          </w:tcPr>
          <w:p>
            <w:pPr>
              <w:spacing w:after="0" w:line="240" w:lineRule="auto"/>
              <w:jc w:val="center"/>
            </w:pPr>
            <w:r>
              <w:rPr>
                <w:color w:val="000000"/>
                <w:sz w:val="21"/>
              </w:rPr>
            </w:r>
          </w:p>
        </w:tc>
        <w:tc>
          <w:tcPr>
            <w:tcW w:type="dxa" w:w="2088"/>
            <w:vAlign w:val="center"/>
          </w:tcPr>
          <w:p>
            <w:pPr>
              <w:spacing w:after="0" w:line="240" w:lineRule="auto"/>
              <w:jc w:val="center"/>
            </w:pPr>
            <w:r>
              <w:rPr>
                <w:color w:val="000000"/>
                <w:sz w:val="21"/>
              </w:rPr>
            </w:r>
          </w:p>
        </w:tc>
        <w:tc>
          <w:tcPr>
            <w:tcW w:type="dxa" w:w="2102"/>
            <w:vAlign w:val="center"/>
          </w:tcPr>
          <w:p>
            <w:pPr>
              <w:spacing w:after="0" w:line="240" w:lineRule="auto"/>
              <w:jc w:val="center"/>
            </w:pPr>
            <w:r>
              <w:rPr>
                <w:color w:val="000000"/>
                <w:sz w:val="21"/>
              </w:rPr>
            </w:r>
          </w:p>
        </w:tc>
      </w:tr>
    </w:tbl>
    <w:p>
      <w:pPr>
        <w:spacing w:after="0" w:before="0" w:line="40" w:lineRule="exact"/>
      </w:pPr>
      <w:r>
        <w:rPr>
          <w:sz w:val="4"/>
        </w:rPr>
      </w:r>
    </w:p>
    <w:p>
      <w:pPr>
        <w:pStyle w:val="Heading2"/>
      </w:pPr>
      <w:r>
        <w:t>Shared assumptions to send with every request</w:t>
      </w:r>
    </w:p>
    <w:p>
      <w:pPr>
        <w:spacing w:after="60"/>
      </w:pPr>
      <w:r>
        <w:rPr>
          <w:sz w:val="19"/>
        </w:rPr>
        <w:t>Menu, spaces, hours, layout and other must haves</w:t>
      </w:r>
    </w:p>
    <w:p>
      <w:pPr>
        <w:spacing w:after="120" w:line="240" w:lineRule="auto"/>
      </w:pPr>
      <w:r>
        <w:rPr>
          <w:color w:val="787878"/>
          <w:sz w:val="18"/>
        </w:rPr>
        <w:t>____________________________________________________________________________________________________</w:t>
      </w:r>
    </w:p>
    <w:p>
      <w:pPr>
        <w:spacing w:after="120" w:line="240" w:lineRule="auto"/>
      </w:pPr>
      <w:r>
        <w:rPr>
          <w:color w:val="787878"/>
          <w:sz w:val="18"/>
        </w:rPr>
        <w:t>____________________________________________________________________________________________________</w:t>
      </w:r>
    </w:p>
    <w:p>
      <w:pPr>
        <w:pStyle w:val="Heading1"/>
        <w:pageBreakBefore/>
      </w:pPr>
      <w:r>
        <w:t>Compare the full cost in INR</w:t>
      </w:r>
    </w:p>
    <w:p>
      <w:r>
        <w:t>Use the same event brief for all columns. Record each quoted INR total. Put billing units and quantities in the notes or attach the itemised quotation. Confirm whether taxes and service charges are included. Mark Included if counted elsewhere and Not quoted if missing.</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45" w:type="dxa"/>
          <w:left w:w="100" w:type="dxa"/>
          <w:bottom w:w="45" w:type="dxa"/>
          <w:right w:w="100" w:type="dxa"/>
        </w:tblCellMar>
      </w:tblPr>
      <w:tblGrid>
        <w:gridCol w:w="4090"/>
        <w:gridCol w:w="2088"/>
        <w:gridCol w:w="2088"/>
        <w:gridCol w:w="2102"/>
      </w:tblGrid>
      <w:tr>
        <w:trPr>
          <w:trHeight w:val="302" w:hRule="atLeast"/>
          <w:tblHeader w:val="true"/>
          <w:cantSplit/>
        </w:trPr>
        <w:tc>
          <w:tcPr>
            <w:tcW w:type="dxa" w:w="4090"/>
            <w:vAlign w:val="center"/>
            <w:shd w:fill="E9ECEF"/>
          </w:tcPr>
          <w:p>
            <w:pPr>
              <w:spacing w:after="0" w:line="240" w:lineRule="auto"/>
              <w:jc w:val="left"/>
            </w:pPr>
            <w:r>
              <w:rPr>
                <w:b/>
                <w:color w:val="000000"/>
                <w:sz w:val="20"/>
              </w:rPr>
              <w:t>Cost item in INR</w:t>
            </w:r>
          </w:p>
        </w:tc>
        <w:tc>
          <w:tcPr>
            <w:tcW w:type="dxa" w:w="2088"/>
            <w:vAlign w:val="center"/>
            <w:shd w:fill="E9ECEF"/>
          </w:tcPr>
          <w:p>
            <w:pPr>
              <w:spacing w:after="0" w:line="240" w:lineRule="auto"/>
              <w:jc w:val="center"/>
            </w:pPr>
            <w:r>
              <w:rPr>
                <w:b/>
                <w:color w:val="000000"/>
                <w:sz w:val="20"/>
              </w:rPr>
              <w:t>Venue A</w:t>
            </w:r>
          </w:p>
        </w:tc>
        <w:tc>
          <w:tcPr>
            <w:tcW w:type="dxa" w:w="2088"/>
            <w:vAlign w:val="center"/>
            <w:shd w:fill="E9ECEF"/>
          </w:tcPr>
          <w:p>
            <w:pPr>
              <w:spacing w:after="0" w:line="240" w:lineRule="auto"/>
              <w:jc w:val="center"/>
            </w:pPr>
            <w:r>
              <w:rPr>
                <w:b/>
                <w:color w:val="000000"/>
                <w:sz w:val="20"/>
              </w:rPr>
              <w:t>Venue B</w:t>
            </w:r>
          </w:p>
        </w:tc>
        <w:tc>
          <w:tcPr>
            <w:tcW w:type="dxa" w:w="2102"/>
            <w:vAlign w:val="center"/>
            <w:shd w:fill="E9ECEF"/>
          </w:tcPr>
          <w:p>
            <w:pPr>
              <w:spacing w:after="0" w:line="240" w:lineRule="auto"/>
              <w:jc w:val="center"/>
            </w:pPr>
            <w:r>
              <w:rPr>
                <w:b/>
                <w:color w:val="000000"/>
                <w:sz w:val="20"/>
              </w:rPr>
              <w:t>Venue C</w:t>
            </w:r>
          </w:p>
        </w:tc>
      </w:tr>
      <w:tr>
        <w:trPr>
          <w:trHeight w:val="302" w:hRule="atLeast"/>
          <w:cantSplit/>
        </w:trPr>
        <w:tc>
          <w:tcPr>
            <w:tcW w:type="dxa" w:w="4090"/>
            <w:vAlign w:val="center"/>
          </w:tcPr>
          <w:p>
            <w:pPr>
              <w:spacing w:after="0" w:line="240" w:lineRule="auto"/>
              <w:jc w:val="left"/>
            </w:pPr>
            <w:r>
              <w:rPr>
                <w:color w:val="000000"/>
                <w:sz w:val="20"/>
              </w:rPr>
              <w:t>Venue and space hire</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Adult meals rate × billable count</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Child meals rate × billable count</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Vendor meals rate × billable count</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Décor and furniture</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Sound lighting and audiovisual</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Staff services and power backup</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Extra hours and setup or pack down</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Catering or external vendor fees</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Other required costs</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Subtotal before discounts and charges</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Less agreed discounts</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Taxes with rate and basis below</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Service charges with basis below</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Total event cost including charges</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Optional extras not in total</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Refundable security deposit separately</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Amount paid toward event cost</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r>
        <w:trPr>
          <w:trHeight w:val="302" w:hRule="atLeast"/>
          <w:cantSplit/>
        </w:trPr>
        <w:tc>
          <w:tcPr>
            <w:tcW w:type="dxa" w:w="4090"/>
            <w:vAlign w:val="center"/>
          </w:tcPr>
          <w:p>
            <w:pPr>
              <w:spacing w:after="0" w:line="240" w:lineRule="auto"/>
              <w:jc w:val="left"/>
            </w:pPr>
            <w:r>
              <w:rPr>
                <w:color w:val="000000"/>
                <w:sz w:val="20"/>
              </w:rPr>
              <w:t>Event cost balance after payments</w:t>
            </w:r>
          </w:p>
        </w:tc>
        <w:tc>
          <w:tcPr>
            <w:tcW w:type="dxa" w:w="2088"/>
            <w:vAlign w:val="center"/>
          </w:tcPr>
          <w:p>
            <w:pPr>
              <w:spacing w:after="0" w:line="240" w:lineRule="auto"/>
              <w:jc w:val="center"/>
            </w:pPr>
            <w:r>
              <w:rPr>
                <w:color w:val="000000"/>
                <w:sz w:val="20"/>
              </w:rPr>
            </w:r>
          </w:p>
        </w:tc>
        <w:tc>
          <w:tcPr>
            <w:tcW w:type="dxa" w:w="2088"/>
            <w:vAlign w:val="center"/>
          </w:tcPr>
          <w:p>
            <w:pPr>
              <w:spacing w:after="0" w:line="240" w:lineRule="auto"/>
              <w:jc w:val="center"/>
            </w:pPr>
            <w:r>
              <w:rPr>
                <w:color w:val="000000"/>
                <w:sz w:val="20"/>
              </w:rPr>
            </w:r>
          </w:p>
        </w:tc>
        <w:tc>
          <w:tcPr>
            <w:tcW w:type="dxa" w:w="2102"/>
            <w:vAlign w:val="center"/>
          </w:tcPr>
          <w:p>
            <w:pPr>
              <w:spacing w:after="0" w:line="240" w:lineRule="auto"/>
              <w:jc w:val="center"/>
            </w:pPr>
            <w:r>
              <w:rPr>
                <w:color w:val="000000"/>
                <w:sz w:val="20"/>
              </w:rPr>
            </w:r>
          </w:p>
        </w:tc>
      </w:tr>
    </w:tbl>
    <w:p>
      <w:pPr>
        <w:spacing w:after="0" w:before="0" w:line="40" w:lineRule="exact"/>
      </w:pPr>
      <w:r>
        <w:rPr>
          <w:sz w:val="4"/>
        </w:rPr>
      </w:r>
    </w:p>
    <w:p>
      <w:r>
        <w:t>Total event cost = subtotal − agreed discounts + only taxes and service charges not already counted. Confirm charge rates, calculation order and taxable basis. Keep optional extras and refundable security deposits separate; include any nonrefundable booking fee in the event cost.</w:t>
      </w:r>
    </w:p>
    <w:p>
      <w:pPr>
        <w:pStyle w:val="Heading2"/>
      </w:pPr>
      <w:r>
        <w:t>Record charge bases and missing prices</w:t>
      </w:r>
    </w:p>
    <w:p>
      <w:pPr>
        <w:spacing w:after="60"/>
      </w:pPr>
      <w:r>
        <w:rPr>
          <w:sz w:val="19"/>
        </w:rPr>
        <w:t>Billing units, quantities, inclusions and exclusions, charge bases, meal guarantees and quote references</w:t>
      </w:r>
    </w:p>
    <w:p>
      <w:pPr>
        <w:spacing w:after="120" w:line="240" w:lineRule="auto"/>
      </w:pPr>
      <w:r>
        <w:rPr>
          <w:color w:val="787878"/>
          <w:sz w:val="18"/>
        </w:rPr>
        <w:t>____________________________________________________________________________________________________</w:t>
      </w:r>
    </w:p>
    <w:p>
      <w:pPr>
        <w:spacing w:after="120" w:line="240" w:lineRule="auto"/>
      </w:pPr>
      <w:r>
        <w:rPr>
          <w:color w:val="787878"/>
          <w:sz w:val="18"/>
        </w:rPr>
        <w:t>____________________________________________________________________________________________________</w:t>
      </w:r>
    </w:p>
    <w:p>
      <w:pPr>
        <w:pStyle w:val="Heading1"/>
        <w:pageBreakBefore/>
      </w:pPr>
      <w:r>
        <w:t>Check the venue and its rules</w:t>
      </w:r>
    </w:p>
    <w:p>
      <w:r>
        <w:t>Tick a box only after you have a clear answer and a written reference where it affects the booking. Note which venue each answer applies to.</w:t>
      </w:r>
    </w:p>
    <w:p>
      <w:pPr>
        <w:pStyle w:val="Heading2"/>
      </w:pPr>
      <w:r>
        <w:t>Inclusions and exclusions</w:t>
      </w:r>
    </w:p>
    <w:p>
      <w:pPr>
        <w:spacing w:after="80"/>
        <w:ind w:left="259" w:hanging="259"/>
      </w:pPr>
      <w:r>
        <w:rPr>
          <w:rFonts w:ascii="DejaVu Sans" w:hAnsi="DejaVu Sans"/>
          <w:sz w:val="20"/>
        </w:rPr>
        <w:t xml:space="preserve">☐  </w:t>
      </w:r>
      <w:r>
        <w:t>List every included space, item, service and quantity; attach an exclusions list.</w:t>
      </w:r>
    </w:p>
    <w:p>
      <w:pPr>
        <w:spacing w:after="80"/>
        <w:ind w:left="259" w:hanging="259"/>
      </w:pPr>
      <w:r>
        <w:rPr>
          <w:rFonts w:ascii="DejaVu Sans" w:hAnsi="DejaVu Sans"/>
          <w:sz w:val="20"/>
        </w:rPr>
        <w:t xml:space="preserve">☐  </w:t>
      </w:r>
      <w:r>
        <w:t>Confirm furniture, linen, décor, cleaning, staffing, security and waste removal costs.</w:t>
      </w:r>
    </w:p>
    <w:p>
      <w:pPr>
        <w:spacing w:after="80"/>
        <w:ind w:left="259" w:hanging="259"/>
      </w:pPr>
      <w:r>
        <w:rPr>
          <w:rFonts w:ascii="DejaVu Sans" w:hAnsi="DejaVu Sans"/>
          <w:sz w:val="20"/>
        </w:rPr>
        <w:t xml:space="preserve">☐  </w:t>
      </w:r>
      <w:r>
        <w:t>Record extra hour rates, billing increments, cutoffs and who may approve additions.</w:t>
      </w:r>
    </w:p>
    <w:p>
      <w:pPr>
        <w:pStyle w:val="Heading2"/>
      </w:pPr>
      <w:r>
        <w:t>Capacity access and logistics</w:t>
      </w:r>
    </w:p>
    <w:p>
      <w:pPr>
        <w:spacing w:after="80"/>
        <w:ind w:left="259" w:hanging="259"/>
      </w:pPr>
      <w:r>
        <w:rPr>
          <w:rFonts w:ascii="DejaVu Sans" w:hAnsi="DejaVu Sans"/>
          <w:sz w:val="20"/>
        </w:rPr>
        <w:t xml:space="preserve">☐  </w:t>
      </w:r>
      <w:r>
        <w:t>Confirm the agreed layout, usable capacity and weather alternative in writing.</w:t>
      </w:r>
    </w:p>
    <w:p>
      <w:pPr>
        <w:spacing w:after="80"/>
        <w:ind w:left="259" w:hanging="259"/>
      </w:pPr>
      <w:r>
        <w:rPr>
          <w:rFonts w:ascii="DejaVu Sans" w:hAnsi="DejaVu Sans"/>
          <w:sz w:val="20"/>
        </w:rPr>
        <w:t xml:space="preserve">☐  </w:t>
      </w:r>
      <w:r>
        <w:t>Check step free routes, lifts, accessible toilets, seating and guest assistance needs.</w:t>
      </w:r>
    </w:p>
    <w:p>
      <w:pPr>
        <w:spacing w:after="80"/>
        <w:ind w:left="259" w:hanging="259"/>
      </w:pPr>
      <w:r>
        <w:rPr>
          <w:rFonts w:ascii="DejaVu Sans" w:hAnsi="DejaVu Sans"/>
          <w:sz w:val="20"/>
        </w:rPr>
        <w:t xml:space="preserve">☐  </w:t>
      </w:r>
      <w:r>
        <w:t>Walk through parking, drop off, vendor loading, wayfinding and emergency exits.</w:t>
      </w:r>
    </w:p>
    <w:p>
      <w:pPr>
        <w:spacing w:after="80"/>
        <w:ind w:left="259" w:hanging="259"/>
      </w:pPr>
      <w:r>
        <w:rPr>
          <w:rFonts w:ascii="DejaVu Sans" w:hAnsi="DejaVu Sans"/>
          <w:sz w:val="20"/>
        </w:rPr>
        <w:t xml:space="preserve">☐  </w:t>
      </w:r>
      <w:r>
        <w:t>Confirm access times, shared spaces, noise limits and any simultaneous events.</w:t>
      </w:r>
    </w:p>
    <w:p>
      <w:pPr>
        <w:pStyle w:val="Heading2"/>
      </w:pPr>
      <w:r>
        <w:t>Catering and vendor rules</w:t>
      </w:r>
    </w:p>
    <w:p>
      <w:pPr>
        <w:spacing w:after="80"/>
        <w:ind w:left="259" w:hanging="259"/>
      </w:pPr>
      <w:r>
        <w:rPr>
          <w:rFonts w:ascii="DejaVu Sans" w:hAnsi="DejaVu Sans"/>
          <w:sz w:val="20"/>
        </w:rPr>
        <w:t xml:space="preserve">☐  </w:t>
      </w:r>
      <w:r>
        <w:t>Confirm menu, service format and timing, tasting terms and dietary requirements.</w:t>
      </w:r>
    </w:p>
    <w:p>
      <w:pPr>
        <w:spacing w:after="80"/>
        <w:ind w:left="259" w:hanging="259"/>
      </w:pPr>
      <w:r>
        <w:rPr>
          <w:rFonts w:ascii="DejaVu Sans" w:hAnsi="DejaVu Sans"/>
          <w:sz w:val="20"/>
        </w:rPr>
        <w:t xml:space="preserve">☐  </w:t>
      </w:r>
      <w:r>
        <w:t>Record child age bands, vendor meal rates, minimum guarantees and final count deadline.</w:t>
      </w:r>
    </w:p>
    <w:p>
      <w:pPr>
        <w:spacing w:after="80"/>
        <w:ind w:left="259" w:hanging="259"/>
      </w:pPr>
      <w:r>
        <w:rPr>
          <w:rFonts w:ascii="DejaVu Sans" w:hAnsi="DejaVu Sans"/>
          <w:sz w:val="20"/>
        </w:rPr>
        <w:t xml:space="preserve">☐  </w:t>
      </w:r>
      <w:r>
        <w:t>Ask about outside catering, kitchen access, corkage or other food and beverage fees.</w:t>
      </w:r>
    </w:p>
    <w:p>
      <w:pPr>
        <w:spacing w:after="80"/>
        <w:ind w:left="259" w:hanging="259"/>
      </w:pPr>
      <w:r>
        <w:rPr>
          <w:rFonts w:ascii="DejaVu Sans" w:hAnsi="DejaVu Sans"/>
          <w:sz w:val="20"/>
        </w:rPr>
        <w:t xml:space="preserve">☐  </w:t>
      </w:r>
      <w:r>
        <w:t>List approved or mandatory vendors, outside vendor fees and setup restrictions.</w:t>
      </w:r>
    </w:p>
    <w:p>
      <w:pPr>
        <w:pStyle w:val="Heading2"/>
      </w:pPr>
      <w:r>
        <w:t>Services and contingency plans</w:t>
      </w:r>
    </w:p>
    <w:p>
      <w:pPr>
        <w:spacing w:after="80"/>
        <w:ind w:left="259" w:hanging="259"/>
      </w:pPr>
      <w:r>
        <w:rPr>
          <w:rFonts w:ascii="DejaVu Sans" w:hAnsi="DejaVu Sans"/>
          <w:sz w:val="20"/>
        </w:rPr>
        <w:t xml:space="preserve">☐  </w:t>
      </w:r>
      <w:r>
        <w:t>Confirm power load, backup coverage, fuel charges and the person managing an outage.</w:t>
      </w:r>
    </w:p>
    <w:p>
      <w:pPr>
        <w:spacing w:after="80"/>
        <w:ind w:left="259" w:hanging="259"/>
      </w:pPr>
      <w:r>
        <w:rPr>
          <w:rFonts w:ascii="DejaVu Sans" w:hAnsi="DejaVu Sans"/>
          <w:sz w:val="20"/>
        </w:rPr>
        <w:t xml:space="preserve">☐  </w:t>
      </w:r>
      <w:r>
        <w:t>Check water, washrooms, cooling or ventilation, housekeeping and first aid arrangements.</w:t>
      </w:r>
    </w:p>
    <w:p>
      <w:pPr>
        <w:spacing w:after="80"/>
        <w:ind w:left="259" w:hanging="259"/>
      </w:pPr>
      <w:r>
        <w:rPr>
          <w:rFonts w:ascii="DejaVu Sans" w:hAnsi="DejaVu Sans"/>
          <w:sz w:val="20"/>
        </w:rPr>
        <w:t xml:space="preserve">☐  </w:t>
      </w:r>
      <w:r>
        <w:t>Record the rain plan, fallback spaces, changeover time and any additional cost.</w:t>
      </w:r>
    </w:p>
    <w:p>
      <w:pPr>
        <w:pStyle w:val="Heading2"/>
      </w:pPr>
      <w:r>
        <w:t>Photography and recording permissions</w:t>
      </w:r>
    </w:p>
    <w:p>
      <w:pPr>
        <w:spacing w:after="80"/>
        <w:ind w:left="259" w:hanging="259"/>
      </w:pPr>
      <w:r>
        <w:rPr>
          <w:rFonts w:ascii="DejaVu Sans" w:hAnsi="DejaVu Sans"/>
          <w:sz w:val="20"/>
        </w:rPr>
        <w:t xml:space="preserve">☐  </w:t>
      </w:r>
      <w:r>
        <w:t>Confirm permitted photo and video areas, equipment rules and any approval or fee.</w:t>
      </w:r>
    </w:p>
    <w:p>
      <w:pPr>
        <w:spacing w:after="80"/>
        <w:ind w:left="259" w:hanging="259"/>
      </w:pPr>
      <w:r>
        <w:rPr>
          <w:rFonts w:ascii="DejaVu Sans" w:hAnsi="DejaVu Sans"/>
          <w:sz w:val="20"/>
        </w:rPr>
        <w:t xml:space="preserve">☐  </w:t>
      </w:r>
      <w:r>
        <w:t>Agree whether the venue or vendors may use guest images and how consent is handled.</w:t>
      </w:r>
    </w:p>
    <w:p>
      <w:pPr>
        <w:pStyle w:val="Heading2"/>
      </w:pPr>
      <w:r>
        <w:t>Questions to resolve</w:t>
      </w:r>
    </w:p>
    <w:p>
      <w:pPr>
        <w:spacing w:after="60"/>
      </w:pPr>
      <w:r>
        <w:rPr>
          <w:sz w:val="19"/>
        </w:rPr>
        <w:t>Venue letter, question and written answer or reference</w:t>
      </w:r>
    </w:p>
    <w:p>
      <w:pPr>
        <w:spacing w:after="120" w:line="240" w:lineRule="auto"/>
      </w:pPr>
      <w:r>
        <w:rPr>
          <w:color w:val="787878"/>
          <w:sz w:val="18"/>
        </w:rPr>
        <w:t>____________________________________________________________________________________________________</w:t>
      </w:r>
    </w:p>
    <w:p>
      <w:pPr>
        <w:spacing w:after="120" w:line="240" w:lineRule="auto"/>
      </w:pPr>
      <w:r>
        <w:rPr>
          <w:color w:val="787878"/>
          <w:sz w:val="18"/>
        </w:rPr>
        <w:t>____________________________________________________________________________________________________</w:t>
      </w:r>
    </w:p>
    <w:p>
      <w:pPr>
        <w:pStyle w:val="Heading1"/>
        <w:pageBreakBefore/>
      </w:pPr>
      <w:r>
        <w:t>Confirm written terms before booking</w:t>
      </w:r>
    </w:p>
    <w:p>
      <w:r>
        <w:t>Use this page for the venue you are considering. Ask for unclear terms to be written into the quotation, agreement or dated annexure. This checklist is a planning aid, not legal advice.</w:t>
      </w:r>
    </w:p>
    <w:p>
      <w:pPr>
        <w:spacing w:after="160"/>
      </w:pPr>
      <w:r>
        <w:t>Venue and space  _______________________________________________</w:t>
      </w:r>
    </w:p>
    <w:p>
      <w:pPr>
        <w:spacing w:after="160"/>
      </w:pPr>
      <w:r>
        <w:t>Quotation and agreement version or date  _______________________</w:t>
      </w:r>
    </w:p>
    <w:p>
      <w:pPr>
        <w:spacing w:after="160"/>
      </w:pPr>
      <w:r>
        <w:t>Event day contact and telephone  _______________________________</w:t>
      </w:r>
    </w:p>
    <w:p>
      <w:pPr>
        <w:pStyle w:val="Heading2"/>
      </w:pPr>
      <w:r>
        <w:t>Deposits and payment schedule</w:t>
      </w:r>
    </w:p>
    <w:p>
      <w:r>
        <w:t>Record whether each amount is an advance toward the event cost, a separate fee or a refundable security deposit. Check that the schedule agrees with the cost worksheet.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45" w:type="dxa"/>
          <w:left w:w="100" w:type="dxa"/>
          <w:bottom w:w="45" w:type="dxa"/>
          <w:right w:w="100" w:type="dxa"/>
        </w:tblCellMar>
      </w:tblPr>
      <w:tblGrid>
        <w:gridCol w:w="3053"/>
        <w:gridCol w:w="2448"/>
        <w:gridCol w:w="1656"/>
        <w:gridCol w:w="3211"/>
      </w:tblGrid>
      <w:tr>
        <w:trPr>
          <w:trHeight w:val="403" w:hRule="atLeast"/>
          <w:tblHeader w:val="true"/>
          <w:cantSplit/>
        </w:trPr>
        <w:tc>
          <w:tcPr>
            <w:tcW w:type="dxa" w:w="3053"/>
            <w:vAlign w:val="center"/>
            <w:shd w:fill="E9ECEF"/>
          </w:tcPr>
          <w:p>
            <w:pPr>
              <w:spacing w:after="0" w:line="240" w:lineRule="auto"/>
              <w:jc w:val="left"/>
            </w:pPr>
            <w:r>
              <w:rPr>
                <w:b/>
                <w:color w:val="000000"/>
                <w:sz w:val="21"/>
              </w:rPr>
              <w:t>Payment purpose</w:t>
            </w:r>
          </w:p>
        </w:tc>
        <w:tc>
          <w:tcPr>
            <w:tcW w:type="dxa" w:w="2448"/>
            <w:vAlign w:val="center"/>
            <w:shd w:fill="E9ECEF"/>
          </w:tcPr>
          <w:p>
            <w:pPr>
              <w:spacing w:after="0" w:line="240" w:lineRule="auto"/>
              <w:jc w:val="center"/>
            </w:pPr>
            <w:r>
              <w:rPr>
                <w:b/>
                <w:color w:val="000000"/>
                <w:sz w:val="21"/>
              </w:rPr>
              <w:t>Due date or trigger</w:t>
            </w:r>
          </w:p>
        </w:tc>
        <w:tc>
          <w:tcPr>
            <w:tcW w:type="dxa" w:w="1656"/>
            <w:vAlign w:val="center"/>
            <w:shd w:fill="E9ECEF"/>
          </w:tcPr>
          <w:p>
            <w:pPr>
              <w:spacing w:after="0" w:line="240" w:lineRule="auto"/>
              <w:jc w:val="center"/>
            </w:pPr>
            <w:r>
              <w:rPr>
                <w:b/>
                <w:color w:val="000000"/>
                <w:sz w:val="21"/>
              </w:rPr>
              <w:t>Amount INR</w:t>
            </w:r>
          </w:p>
        </w:tc>
        <w:tc>
          <w:tcPr>
            <w:tcW w:type="dxa" w:w="3211"/>
            <w:vAlign w:val="center"/>
            <w:shd w:fill="E9ECEF"/>
          </w:tcPr>
          <w:p>
            <w:pPr>
              <w:spacing w:after="0" w:line="240" w:lineRule="auto"/>
              <w:jc w:val="center"/>
            </w:pPr>
            <w:r>
              <w:rPr>
                <w:b/>
                <w:color w:val="000000"/>
                <w:sz w:val="21"/>
              </w:rPr>
              <w:t>Written reference</w:t>
            </w:r>
          </w:p>
        </w:tc>
      </w:tr>
      <w:tr>
        <w:trPr>
          <w:trHeight w:val="403" w:hRule="atLeast"/>
          <w:cantSplit/>
        </w:trPr>
        <w:tc>
          <w:tcPr>
            <w:tcW w:type="dxa" w:w="3053"/>
            <w:vAlign w:val="center"/>
          </w:tcPr>
          <w:p>
            <w:pPr>
              <w:spacing w:after="0" w:line="240" w:lineRule="auto"/>
              <w:jc w:val="left"/>
            </w:pPr>
            <w:r>
              <w:rPr>
                <w:color w:val="000000"/>
                <w:sz w:val="21"/>
              </w:rPr>
              <w:t>Booking payment</w:t>
            </w:r>
          </w:p>
        </w:tc>
        <w:tc>
          <w:tcPr>
            <w:tcW w:type="dxa" w:w="2448"/>
            <w:vAlign w:val="center"/>
          </w:tcPr>
          <w:p>
            <w:pPr>
              <w:spacing w:after="0" w:line="240" w:lineRule="auto"/>
              <w:jc w:val="center"/>
            </w:pPr>
            <w:r>
              <w:rPr>
                <w:color w:val="000000"/>
                <w:sz w:val="21"/>
              </w:rPr>
            </w:r>
          </w:p>
        </w:tc>
        <w:tc>
          <w:tcPr>
            <w:tcW w:type="dxa" w:w="1656"/>
            <w:vAlign w:val="center"/>
          </w:tcPr>
          <w:p>
            <w:pPr>
              <w:spacing w:after="0" w:line="240" w:lineRule="auto"/>
              <w:jc w:val="center"/>
            </w:pPr>
            <w:r>
              <w:rPr>
                <w:color w:val="000000"/>
                <w:sz w:val="21"/>
              </w:rPr>
            </w:r>
          </w:p>
        </w:tc>
        <w:tc>
          <w:tcPr>
            <w:tcW w:type="dxa" w:w="3211"/>
            <w:vAlign w:val="center"/>
          </w:tcPr>
          <w:p>
            <w:pPr>
              <w:spacing w:after="0" w:line="240" w:lineRule="auto"/>
              <w:jc w:val="center"/>
            </w:pPr>
            <w:r>
              <w:rPr>
                <w:color w:val="000000"/>
                <w:sz w:val="21"/>
              </w:rPr>
            </w:r>
          </w:p>
        </w:tc>
      </w:tr>
      <w:tr>
        <w:trPr>
          <w:trHeight w:val="403" w:hRule="atLeast"/>
          <w:cantSplit/>
        </w:trPr>
        <w:tc>
          <w:tcPr>
            <w:tcW w:type="dxa" w:w="3053"/>
            <w:vAlign w:val="center"/>
          </w:tcPr>
          <w:p>
            <w:pPr>
              <w:spacing w:after="0" w:line="240" w:lineRule="auto"/>
              <w:jc w:val="left"/>
            </w:pPr>
            <w:r>
              <w:rPr>
                <w:color w:val="000000"/>
                <w:sz w:val="21"/>
              </w:rPr>
              <w:t>Next instalment</w:t>
            </w:r>
          </w:p>
        </w:tc>
        <w:tc>
          <w:tcPr>
            <w:tcW w:type="dxa" w:w="2448"/>
            <w:vAlign w:val="center"/>
          </w:tcPr>
          <w:p>
            <w:pPr>
              <w:spacing w:after="0" w:line="240" w:lineRule="auto"/>
              <w:jc w:val="center"/>
            </w:pPr>
            <w:r>
              <w:rPr>
                <w:color w:val="000000"/>
                <w:sz w:val="21"/>
              </w:rPr>
            </w:r>
          </w:p>
        </w:tc>
        <w:tc>
          <w:tcPr>
            <w:tcW w:type="dxa" w:w="1656"/>
            <w:vAlign w:val="center"/>
          </w:tcPr>
          <w:p>
            <w:pPr>
              <w:spacing w:after="0" w:line="240" w:lineRule="auto"/>
              <w:jc w:val="center"/>
            </w:pPr>
            <w:r>
              <w:rPr>
                <w:color w:val="000000"/>
                <w:sz w:val="21"/>
              </w:rPr>
            </w:r>
          </w:p>
        </w:tc>
        <w:tc>
          <w:tcPr>
            <w:tcW w:type="dxa" w:w="3211"/>
            <w:vAlign w:val="center"/>
          </w:tcPr>
          <w:p>
            <w:pPr>
              <w:spacing w:after="0" w:line="240" w:lineRule="auto"/>
              <w:jc w:val="center"/>
            </w:pPr>
            <w:r>
              <w:rPr>
                <w:color w:val="000000"/>
                <w:sz w:val="21"/>
              </w:rPr>
            </w:r>
          </w:p>
        </w:tc>
      </w:tr>
      <w:tr>
        <w:trPr>
          <w:trHeight w:val="403" w:hRule="atLeast"/>
          <w:cantSplit/>
        </w:trPr>
        <w:tc>
          <w:tcPr>
            <w:tcW w:type="dxa" w:w="3053"/>
            <w:vAlign w:val="center"/>
          </w:tcPr>
          <w:p>
            <w:pPr>
              <w:spacing w:after="0" w:line="240" w:lineRule="auto"/>
              <w:jc w:val="left"/>
            </w:pPr>
            <w:r>
              <w:rPr>
                <w:color w:val="000000"/>
                <w:sz w:val="21"/>
              </w:rPr>
              <w:t>Before the event</w:t>
            </w:r>
          </w:p>
        </w:tc>
        <w:tc>
          <w:tcPr>
            <w:tcW w:type="dxa" w:w="2448"/>
            <w:vAlign w:val="center"/>
          </w:tcPr>
          <w:p>
            <w:pPr>
              <w:spacing w:after="0" w:line="240" w:lineRule="auto"/>
              <w:jc w:val="center"/>
            </w:pPr>
            <w:r>
              <w:rPr>
                <w:color w:val="000000"/>
                <w:sz w:val="21"/>
              </w:rPr>
            </w:r>
          </w:p>
        </w:tc>
        <w:tc>
          <w:tcPr>
            <w:tcW w:type="dxa" w:w="1656"/>
            <w:vAlign w:val="center"/>
          </w:tcPr>
          <w:p>
            <w:pPr>
              <w:spacing w:after="0" w:line="240" w:lineRule="auto"/>
              <w:jc w:val="center"/>
            </w:pPr>
            <w:r>
              <w:rPr>
                <w:color w:val="000000"/>
                <w:sz w:val="21"/>
              </w:rPr>
            </w:r>
          </w:p>
        </w:tc>
        <w:tc>
          <w:tcPr>
            <w:tcW w:type="dxa" w:w="3211"/>
            <w:vAlign w:val="center"/>
          </w:tcPr>
          <w:p>
            <w:pPr>
              <w:spacing w:after="0" w:line="240" w:lineRule="auto"/>
              <w:jc w:val="center"/>
            </w:pPr>
            <w:r>
              <w:rPr>
                <w:color w:val="000000"/>
                <w:sz w:val="21"/>
              </w:rPr>
            </w:r>
          </w:p>
        </w:tc>
      </w:tr>
      <w:tr>
        <w:trPr>
          <w:trHeight w:val="403" w:hRule="atLeast"/>
          <w:cantSplit/>
        </w:trPr>
        <w:tc>
          <w:tcPr>
            <w:tcW w:type="dxa" w:w="3053"/>
            <w:vAlign w:val="center"/>
          </w:tcPr>
          <w:p>
            <w:pPr>
              <w:spacing w:after="0" w:line="240" w:lineRule="auto"/>
              <w:jc w:val="left"/>
            </w:pPr>
            <w:r>
              <w:rPr>
                <w:color w:val="000000"/>
                <w:sz w:val="21"/>
              </w:rPr>
              <w:t>Final settlement or deposit return</w:t>
            </w:r>
          </w:p>
        </w:tc>
        <w:tc>
          <w:tcPr>
            <w:tcW w:type="dxa" w:w="2448"/>
            <w:vAlign w:val="center"/>
          </w:tcPr>
          <w:p>
            <w:pPr>
              <w:spacing w:after="0" w:line="240" w:lineRule="auto"/>
              <w:jc w:val="center"/>
            </w:pPr>
            <w:r>
              <w:rPr>
                <w:color w:val="000000"/>
                <w:sz w:val="21"/>
              </w:rPr>
            </w:r>
          </w:p>
        </w:tc>
        <w:tc>
          <w:tcPr>
            <w:tcW w:type="dxa" w:w="1656"/>
            <w:vAlign w:val="center"/>
          </w:tcPr>
          <w:p>
            <w:pPr>
              <w:spacing w:after="0" w:line="240" w:lineRule="auto"/>
              <w:jc w:val="center"/>
            </w:pPr>
            <w:r>
              <w:rPr>
                <w:color w:val="000000"/>
                <w:sz w:val="21"/>
              </w:rPr>
            </w:r>
          </w:p>
        </w:tc>
        <w:tc>
          <w:tcPr>
            <w:tcW w:type="dxa" w:w="3211"/>
            <w:vAlign w:val="center"/>
          </w:tcPr>
          <w:p>
            <w:pPr>
              <w:spacing w:after="0" w:line="240" w:lineRule="auto"/>
              <w:jc w:val="center"/>
            </w:pPr>
            <w:r>
              <w:rPr>
                <w:color w:val="000000"/>
                <w:sz w:val="21"/>
              </w:rPr>
            </w:r>
          </w:p>
        </w:tc>
      </w:tr>
    </w:tbl>
    <w:p>
      <w:pPr>
        <w:spacing w:after="0" w:before="0" w:line="40" w:lineRule="exact"/>
      </w:pPr>
      <w:r>
        <w:rPr>
          <w:sz w:val="4"/>
        </w:rPr>
      </w:r>
    </w:p>
    <w:p>
      <w:pPr>
        <w:pStyle w:val="Heading2"/>
      </w:pPr>
      <w:r>
        <w:t>Cancellation refunds and postponement</w:t>
      </w:r>
    </w:p>
    <w:p>
      <w:pPr>
        <w:spacing w:after="80"/>
        <w:ind w:left="259" w:hanging="259"/>
      </w:pPr>
      <w:r>
        <w:rPr>
          <w:rFonts w:ascii="DejaVu Sans" w:hAnsi="DejaVu Sans"/>
          <w:sz w:val="20"/>
        </w:rPr>
        <w:t xml:space="preserve">☐  </w:t>
      </w:r>
      <w:r>
        <w:t>Record cancellation deadlines, deductions, refund amounts or method and payout timing.</w:t>
      </w:r>
    </w:p>
    <w:p>
      <w:pPr>
        <w:spacing w:after="80"/>
        <w:ind w:left="259" w:hanging="259"/>
      </w:pPr>
      <w:r>
        <w:rPr>
          <w:rFonts w:ascii="DejaVu Sans" w:hAnsi="DejaVu Sans"/>
          <w:sz w:val="20"/>
        </w:rPr>
        <w:t xml:space="preserve">☐  </w:t>
      </w:r>
      <w:r>
        <w:t>Confirm postponement windows, date availability, transfer rules and price changes.</w:t>
      </w:r>
    </w:p>
    <w:p>
      <w:pPr>
        <w:spacing w:after="80"/>
        <w:ind w:left="259" w:hanging="259"/>
      </w:pPr>
      <w:r>
        <w:rPr>
          <w:rFonts w:ascii="DejaVu Sans" w:hAnsi="DejaVu Sans"/>
          <w:sz w:val="20"/>
        </w:rPr>
        <w:t xml:space="preserve">☐  </w:t>
      </w:r>
      <w:r>
        <w:t>State what happens if the venue cannot provide the agreed space or services.</w:t>
      </w:r>
    </w:p>
    <w:p>
      <w:pPr>
        <w:spacing w:after="80"/>
        <w:ind w:left="259" w:hanging="259"/>
      </w:pPr>
      <w:r>
        <w:rPr>
          <w:rFonts w:ascii="DejaVu Sans" w:hAnsi="DejaVu Sans"/>
          <w:sz w:val="20"/>
        </w:rPr>
        <w:t xml:space="preserve">☐  </w:t>
      </w:r>
      <w:r>
        <w:t>Record the security deposit return deadline and the basis for any damage deductions.</w:t>
      </w:r>
    </w:p>
    <w:p>
      <w:pPr>
        <w:pStyle w:val="Heading2"/>
      </w:pPr>
      <w:r>
        <w:t>Final agreement check</w:t>
      </w:r>
    </w:p>
    <w:p>
      <w:pPr>
        <w:spacing w:after="80"/>
        <w:ind w:left="259" w:hanging="259"/>
      </w:pPr>
      <w:r>
        <w:rPr>
          <w:rFonts w:ascii="DejaVu Sans" w:hAnsi="DejaVu Sans"/>
          <w:sz w:val="20"/>
        </w:rPr>
        <w:t xml:space="preserve">☐  </w:t>
      </w:r>
      <w:r>
        <w:t>Check the contracting party, event date, spaces, access hours, layout and total cost.</w:t>
      </w:r>
    </w:p>
    <w:p>
      <w:pPr>
        <w:spacing w:after="80"/>
        <w:ind w:left="259" w:hanging="259"/>
      </w:pPr>
      <w:r>
        <w:rPr>
          <w:rFonts w:ascii="DejaVu Sans" w:hAnsi="DejaVu Sans"/>
          <w:sz w:val="20"/>
        </w:rPr>
        <w:t xml:space="preserve">☐  </w:t>
      </w:r>
      <w:r>
        <w:t>Attach inclusions, exclusions, menu, floor plan and agreed vendor or photo permissions.</w:t>
      </w:r>
    </w:p>
    <w:p>
      <w:pPr>
        <w:spacing w:after="80"/>
        <w:ind w:left="259" w:hanging="259"/>
      </w:pPr>
      <w:r>
        <w:rPr>
          <w:rFonts w:ascii="DejaVu Sans" w:hAnsi="DejaVu Sans"/>
          <w:sz w:val="20"/>
        </w:rPr>
        <w:t xml:space="preserve">☐  </w:t>
      </w:r>
      <w:r>
        <w:t>Confirm guaranteed count deadlines, change approvals and final bill reconciliation.</w:t>
      </w:r>
    </w:p>
    <w:p>
      <w:pPr>
        <w:spacing w:after="80"/>
        <w:ind w:left="259" w:hanging="259"/>
      </w:pPr>
      <w:r>
        <w:rPr>
          <w:rFonts w:ascii="DejaVu Sans" w:hAnsi="DejaVu Sans"/>
          <w:sz w:val="20"/>
        </w:rPr>
        <w:t xml:space="preserve">☐  </w:t>
      </w:r>
      <w:r>
        <w:t>Keep all promises and amendments in writing; get a receipt for each payment.</w:t>
      </w:r>
    </w:p>
    <w:p>
      <w:pPr>
        <w:pStyle w:val="Heading2"/>
      </w:pPr>
      <w:r>
        <w:t>Decision and unresolved points</w:t>
      </w:r>
    </w:p>
    <w:p>
      <w:pPr>
        <w:spacing w:after="60"/>
      </w:pPr>
      <w:r>
        <w:rPr>
          <w:sz w:val="19"/>
        </w:rPr>
        <w:t>Preferred venue, remaining questions, owner and next action</w:t>
      </w:r>
    </w:p>
    <w:p>
      <w:pPr>
        <w:spacing w:after="120" w:line="240" w:lineRule="auto"/>
      </w:pPr>
      <w:r>
        <w:rPr>
          <w:color w:val="787878"/>
          <w:sz w:val="18"/>
        </w:rPr>
        <w:t>____________________________________________________________________________________________________</w:t>
      </w:r>
    </w:p>
    <w:p>
      <w:pPr>
        <w:spacing w:after="120" w:line="240" w:lineRule="auto"/>
      </w:pPr>
      <w:r>
        <w:rPr>
          <w:color w:val="787878"/>
          <w:sz w:val="18"/>
        </w:rPr>
        <w:t>____________________________________________________________________________________________________</w:t>
      </w:r>
    </w:p>
    <w:p>
      <w:pPr>
        <w:spacing w:after="120" w:line="240" w:lineRule="auto"/>
      </w:pPr>
      <w:r>
        <w:rPr>
          <w:color w:val="787878"/>
          <w:sz w:val="18"/>
        </w:rPr>
        <w:t>____________________________________________________________________________________________________</w:t>
      </w:r>
    </w:p>
    <w:p>
      <w:pPr>
        <w:spacing w:after="160"/>
      </w:pPr>
      <w:r>
        <w:t>Reviewed by and date  __________________________________________</w:t>
      </w:r>
    </w:p>
    <w:sectPr w:rsidR="00FC693F" w:rsidRPr="0006063C" w:rsidSect="00034616">
      <w:footerReference w:type="default" r:id="rId9"/>
      <w:pgSz w:w="12240" w:h="15840"/>
      <w:pgMar w:top="864" w:right="936" w:bottom="864" w:left="936"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right"/>
      </w:tabs>
      <w:spacing w:after="0"/>
      <w:jc w:val="left"/>
    </w:pPr>
    <w:r>
      <w:rPr>
        <w:color w:val="000000"/>
        <w:sz w:val="16"/>
      </w:rPr>
      <w:t>Veloria Grand  |  theveloriagrand.com</w:t>
    </w:r>
    <w: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Calibri" w:hAnsi="Calibr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Wedding venue quotation checklist</dc:title>
  <dc:subject>Wedding venue comparison planning checklist</dc:subject>
  <dc:creator>Veloria Grand</dc:creator>
  <cp:keywords/>
  <dc:description/>
  <cp:lastModifiedBy/>
  <cp:revision>1</cp:revision>
  <dcterms:created xsi:type="dcterms:W3CDTF">2013-12-23T23:15:00Z</dcterms:created>
  <dcterms:modified xsi:type="dcterms:W3CDTF">2013-12-23T23:15:00Z</dcterms:modified>
  <cp:category/>
</cp:coreProperties>
</file>